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5D" w:rsidRDefault="00AB7C5D" w:rsidP="004B1FE8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№ </w:t>
      </w:r>
      <w:r w:rsidR="00105628">
        <w:rPr>
          <w:rFonts w:ascii="Times New Roman" w:eastAsia="Times New Roman" w:hAnsi="Times New Roman" w:cs="Times New Roman"/>
          <w:iCs/>
          <w:szCs w:val="24"/>
          <w:lang w:eastAsia="ru-RU"/>
        </w:rPr>
        <w:t>17</w:t>
      </w: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к Договору </w:t>
      </w:r>
      <w:r w:rsidR="0022401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генерального </w:t>
      </w: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>подряда №____________________</w:t>
      </w:r>
    </w:p>
    <w:p w:rsidR="008B7F57" w:rsidRPr="00702BE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hAnsi="Times New Roman"/>
          <w:szCs w:val="20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от </w:t>
      </w:r>
      <w:proofErr w:type="gramStart"/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«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</w:t>
      </w:r>
      <w:proofErr w:type="gramEnd"/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»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_______________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202</w:t>
      </w:r>
      <w:r w:rsidR="00D146AA">
        <w:rPr>
          <w:rFonts w:ascii="Times New Roman" w:eastAsia="Times New Roman" w:hAnsi="Times New Roman" w:cs="Times New Roman"/>
          <w:iCs/>
          <w:szCs w:val="24"/>
          <w:lang w:eastAsia="ru-RU"/>
        </w:rPr>
        <w:t>1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г.</w:t>
      </w: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305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891">
        <w:rPr>
          <w:rFonts w:ascii="Times New Roman" w:hAnsi="Times New Roman" w:cs="Times New Roman"/>
          <w:b/>
          <w:sz w:val="24"/>
          <w:szCs w:val="24"/>
        </w:rPr>
        <w:t>Требования к возвр</w:t>
      </w:r>
      <w:r w:rsidR="0052635C">
        <w:rPr>
          <w:rFonts w:ascii="Times New Roman" w:hAnsi="Times New Roman" w:cs="Times New Roman"/>
          <w:b/>
          <w:sz w:val="24"/>
          <w:szCs w:val="24"/>
        </w:rPr>
        <w:t>ащаемым</w:t>
      </w:r>
      <w:r w:rsidRPr="00AE3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891" w:rsidRPr="00AE3891">
        <w:rPr>
          <w:rFonts w:ascii="Times New Roman" w:hAnsi="Times New Roman" w:cs="Times New Roman"/>
          <w:b/>
          <w:sz w:val="24"/>
          <w:szCs w:val="24"/>
        </w:rPr>
        <w:t>материально-техническим ресурсам</w:t>
      </w:r>
      <w:r w:rsidR="0052635C">
        <w:rPr>
          <w:rFonts w:ascii="Times New Roman" w:hAnsi="Times New Roman" w:cs="Times New Roman"/>
          <w:b/>
          <w:sz w:val="24"/>
          <w:szCs w:val="24"/>
        </w:rPr>
        <w:t xml:space="preserve"> на склады </w:t>
      </w:r>
    </w:p>
    <w:p w:rsidR="00AB7C5D" w:rsidRPr="00AE3891" w:rsidRDefault="0052635C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«Афипский НПЗ»</w:t>
      </w:r>
    </w:p>
    <w:p w:rsidR="00AB7C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43" w:type="dxa"/>
        <w:tblInd w:w="-147" w:type="dxa"/>
        <w:tblLook w:val="04A0" w:firstRow="1" w:lastRow="0" w:firstColumn="1" w:lastColumn="0" w:noHBand="0" w:noVBand="1"/>
      </w:tblPr>
      <w:tblGrid>
        <w:gridCol w:w="567"/>
        <w:gridCol w:w="3650"/>
        <w:gridCol w:w="6126"/>
      </w:tblGrid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МТР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требований к возврату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Прокат листовой </w:t>
            </w:r>
          </w:p>
        </w:tc>
        <w:tc>
          <w:tcPr>
            <w:tcW w:w="6126" w:type="dxa"/>
          </w:tcPr>
          <w:p w:rsidR="00AB7C5D" w:rsidRPr="00AB7C5D" w:rsidRDefault="0052635C" w:rsidP="00304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Длинна листа должна быть н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>мм со всех сторон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раскроя.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</w:p>
        </w:tc>
        <w:tc>
          <w:tcPr>
            <w:tcW w:w="6126" w:type="dxa"/>
          </w:tcPr>
          <w:p w:rsidR="00AB7C5D" w:rsidRPr="00AB7C5D" w:rsidRDefault="00AB7C5D" w:rsidP="004E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Длина трубы должна быть не менее 100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мм </w:t>
            </w:r>
            <w:proofErr w:type="gramStart"/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всех</w:t>
            </w:r>
            <w:proofErr w:type="gramEnd"/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диаметров.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для выполнения трубной проводки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2-х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н/ж диаметром до 12мм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Металлорукав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Кабель силовой сечением от 10мм кв.</w:t>
            </w:r>
          </w:p>
        </w:tc>
        <w:tc>
          <w:tcPr>
            <w:tcW w:w="6126" w:type="dxa"/>
          </w:tcPr>
          <w:p w:rsidR="00AB7C5D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– 100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Кабель и провод сечением до 10мм кв. </w:t>
            </w:r>
          </w:p>
        </w:tc>
        <w:tc>
          <w:tcPr>
            <w:tcW w:w="6126" w:type="dxa"/>
          </w:tcPr>
          <w:p w:rsidR="00B40BFE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- 50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Кабеленесущие конструкции (кабельные лотки, крышки, короба, полки, стойки)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Комплектация в соответствии с требованием завода изготовителя, только целые конструкции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Коробки взрывозащищенные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В комплекте с взрывозащищенными кабельными вводами (наличие паспортов и сертификатов на каждое изделие)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Полоса горячекатаная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Штучные материалы (болты, скобы, анкера, фитинги, муфты и т.д.)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Только в полной комплектности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Детали фасонные (отводы, переходы, заглушки, тройники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Поковки и штамповки (элементы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Фланцы (технологического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Крепежные изделия (шпильки, болты, гайки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Сборочные блоки (трубные пучки технологических теплообменников, печные змеевики, узлы технологических трубопроводов и т.п.)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Сосуды и аппараты (технологические)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предусмотренной в НД сопроводительной документации (сертификаты, декларации соответствия для продукции, подлежащей обязательной сертификации, сертификатов на материалы и комплектующие изделия, паспортов, инструкций,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чертежей, комплектовочных ведомостей, упаковочных листов, технической документации)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Материалы, ЗИП к материалам и оборудованию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Комплектность поступивших материалов, ЗИП к материалам и оборудованию, на соответствие переданным материалам со складского хозяйства, упаковочным листам, комплектовочной ведомости и чертежам, проверка целостности упаковки и консервации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Маркировка и соответствие данным сертификата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Наличие заводской маркировки и ее соответствие данным сертификата или паспорта на изделие, наличие номера учетной карточки склада, а также требованиям государственных или отраслевых стандартов, или правил Ростехнадзора, а именно: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- должна быть нанесена в обязательном порядке на любой продукции методом (даже в случае единичной поставки), обеспечивающим сохранность на любом этапе движения продукции (транспортировки, хранения, проведения входного контроля и выдачи в производство, монтажа)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Раскрой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Если происходит раскрой продукции на части, то на каждую из них необходимо нанести идентичную маркировку. Маркировка должна наносится тем же способом, который применялся изготовителем. При этом, маркировку наносят специалисты подразделения (</w:t>
            </w:r>
            <w:r w:rsidR="0022401A">
              <w:rPr>
                <w:rFonts w:ascii="Times New Roman" w:hAnsi="Times New Roman" w:cs="Times New Roman"/>
                <w:sz w:val="24"/>
                <w:szCs w:val="24"/>
              </w:rPr>
              <w:t>Генподряд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чика), выполнившие раскрой продукции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не повреждаемости материалов и сохранность заводской и складской маркировки. При использовании част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и изделия (листа, трубы и т.д.), н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апример, для испытаний, на 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шейся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части изделия, маркировка должна быть воспроизведена вновь.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поверхностных дефектов, повреждений, изменений геометрических размеров и отклонений от естественной формы (например, овальности).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дефектов, порчи продукции, при несоблюдении правил хранения продукции и при проведении погрузо-разгрузочных работ.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Продукцию следует сдавать каждой отдельной партией, во избежание последующей пересортицы при дальнейшем хранении на складе и выдаче в повторное производство работ</w:t>
            </w:r>
          </w:p>
        </w:tc>
      </w:tr>
    </w:tbl>
    <w:p w:rsidR="00AB7C5D" w:rsidRPr="00AB7C5D" w:rsidRDefault="00AB7C5D" w:rsidP="00AB7C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451CD5" w:rsidRPr="001A388F" w:rsidTr="002A1371">
        <w:tc>
          <w:tcPr>
            <w:tcW w:w="5245" w:type="dxa"/>
          </w:tcPr>
          <w:p w:rsidR="00451CD5" w:rsidRPr="001A388F" w:rsidRDefault="00451CD5" w:rsidP="002A1371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51CD5" w:rsidRDefault="000D6B64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Генеральный директор</w:t>
            </w: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0D6B6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Интерсофт Трейд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Е.А. Евтенко</w:t>
            </w:r>
            <w:bookmarkStart w:id="0" w:name="_GoBack"/>
            <w:bookmarkEnd w:id="0"/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AB7C5D" w:rsidRPr="00F906DB" w:rsidRDefault="00AB7C5D" w:rsidP="008B7F57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AB7C5D" w:rsidRPr="00F906DB" w:rsidSect="00C03A5A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6F4F"/>
    <w:multiLevelType w:val="hybridMultilevel"/>
    <w:tmpl w:val="DE60CAA4"/>
    <w:lvl w:ilvl="0" w:tplc="7A184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9F3E77"/>
    <w:multiLevelType w:val="hybridMultilevel"/>
    <w:tmpl w:val="78BA0258"/>
    <w:lvl w:ilvl="0" w:tplc="493AB78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090427"/>
    <w:multiLevelType w:val="hybridMultilevel"/>
    <w:tmpl w:val="34308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872BE"/>
    <w:multiLevelType w:val="hybridMultilevel"/>
    <w:tmpl w:val="48565D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4D40"/>
    <w:multiLevelType w:val="hybridMultilevel"/>
    <w:tmpl w:val="786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B4CF1"/>
    <w:multiLevelType w:val="hybridMultilevel"/>
    <w:tmpl w:val="DA4070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7959E9"/>
    <w:multiLevelType w:val="hybridMultilevel"/>
    <w:tmpl w:val="05F8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C618E"/>
    <w:multiLevelType w:val="hybridMultilevel"/>
    <w:tmpl w:val="A55AF6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2CC4495"/>
    <w:multiLevelType w:val="hybridMultilevel"/>
    <w:tmpl w:val="67884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5452E"/>
    <w:multiLevelType w:val="hybridMultilevel"/>
    <w:tmpl w:val="B9C0B46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FB230CE"/>
    <w:multiLevelType w:val="hybridMultilevel"/>
    <w:tmpl w:val="2B6C348C"/>
    <w:lvl w:ilvl="0" w:tplc="B4EA14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E87245"/>
    <w:multiLevelType w:val="hybridMultilevel"/>
    <w:tmpl w:val="662AF33E"/>
    <w:lvl w:ilvl="0" w:tplc="174654C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616D673A"/>
    <w:multiLevelType w:val="hybridMultilevel"/>
    <w:tmpl w:val="CC601918"/>
    <w:lvl w:ilvl="0" w:tplc="46EC452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1F23E4B"/>
    <w:multiLevelType w:val="hybridMultilevel"/>
    <w:tmpl w:val="9DE60F84"/>
    <w:lvl w:ilvl="0" w:tplc="8AFA4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F6"/>
    <w:rsid w:val="000006FE"/>
    <w:rsid w:val="000234DE"/>
    <w:rsid w:val="00025E9C"/>
    <w:rsid w:val="000348E1"/>
    <w:rsid w:val="000379F2"/>
    <w:rsid w:val="00047F1E"/>
    <w:rsid w:val="00052B6C"/>
    <w:rsid w:val="0005300C"/>
    <w:rsid w:val="00061332"/>
    <w:rsid w:val="00063226"/>
    <w:rsid w:val="00064A25"/>
    <w:rsid w:val="00074C4B"/>
    <w:rsid w:val="000935DA"/>
    <w:rsid w:val="00097FA3"/>
    <w:rsid w:val="000A1A11"/>
    <w:rsid w:val="000A24F1"/>
    <w:rsid w:val="000D6B64"/>
    <w:rsid w:val="000F1DF0"/>
    <w:rsid w:val="000F276C"/>
    <w:rsid w:val="000F43D8"/>
    <w:rsid w:val="00105628"/>
    <w:rsid w:val="00126D74"/>
    <w:rsid w:val="001349CA"/>
    <w:rsid w:val="00145568"/>
    <w:rsid w:val="001468C7"/>
    <w:rsid w:val="00157DE5"/>
    <w:rsid w:val="0018057C"/>
    <w:rsid w:val="001833F6"/>
    <w:rsid w:val="00186EBF"/>
    <w:rsid w:val="001C0968"/>
    <w:rsid w:val="001C0AEE"/>
    <w:rsid w:val="001C6771"/>
    <w:rsid w:val="001D24F0"/>
    <w:rsid w:val="001D62B8"/>
    <w:rsid w:val="001D7850"/>
    <w:rsid w:val="001E6A52"/>
    <w:rsid w:val="001F0B78"/>
    <w:rsid w:val="00205FDD"/>
    <w:rsid w:val="0022115F"/>
    <w:rsid w:val="0022401A"/>
    <w:rsid w:val="0023055D"/>
    <w:rsid w:val="00231A87"/>
    <w:rsid w:val="002343DE"/>
    <w:rsid w:val="00251702"/>
    <w:rsid w:val="00257BA3"/>
    <w:rsid w:val="0026386B"/>
    <w:rsid w:val="00272888"/>
    <w:rsid w:val="002752D5"/>
    <w:rsid w:val="0029298E"/>
    <w:rsid w:val="0029435B"/>
    <w:rsid w:val="00294C91"/>
    <w:rsid w:val="00295339"/>
    <w:rsid w:val="002B411B"/>
    <w:rsid w:val="003028F9"/>
    <w:rsid w:val="00304CB8"/>
    <w:rsid w:val="00306BFA"/>
    <w:rsid w:val="00310B13"/>
    <w:rsid w:val="00312516"/>
    <w:rsid w:val="00315CC3"/>
    <w:rsid w:val="00316F93"/>
    <w:rsid w:val="003315A1"/>
    <w:rsid w:val="00334783"/>
    <w:rsid w:val="00336959"/>
    <w:rsid w:val="00350877"/>
    <w:rsid w:val="00371A99"/>
    <w:rsid w:val="00371CDD"/>
    <w:rsid w:val="00385A95"/>
    <w:rsid w:val="00387159"/>
    <w:rsid w:val="003912B8"/>
    <w:rsid w:val="0039516F"/>
    <w:rsid w:val="003962A8"/>
    <w:rsid w:val="003B527B"/>
    <w:rsid w:val="003D444A"/>
    <w:rsid w:val="003F4637"/>
    <w:rsid w:val="00404A7F"/>
    <w:rsid w:val="00413D09"/>
    <w:rsid w:val="00427821"/>
    <w:rsid w:val="0043607A"/>
    <w:rsid w:val="00436B0F"/>
    <w:rsid w:val="00436F1D"/>
    <w:rsid w:val="0044330C"/>
    <w:rsid w:val="00451CD5"/>
    <w:rsid w:val="00463AF9"/>
    <w:rsid w:val="0047054D"/>
    <w:rsid w:val="004A4480"/>
    <w:rsid w:val="004A5924"/>
    <w:rsid w:val="004B1FE8"/>
    <w:rsid w:val="004B2ABD"/>
    <w:rsid w:val="004D1B70"/>
    <w:rsid w:val="004D23D4"/>
    <w:rsid w:val="004E7761"/>
    <w:rsid w:val="004F3C09"/>
    <w:rsid w:val="004F4496"/>
    <w:rsid w:val="00501449"/>
    <w:rsid w:val="00502963"/>
    <w:rsid w:val="00517DB2"/>
    <w:rsid w:val="00520E05"/>
    <w:rsid w:val="0052635C"/>
    <w:rsid w:val="005338E9"/>
    <w:rsid w:val="00542815"/>
    <w:rsid w:val="00546D67"/>
    <w:rsid w:val="00551AAE"/>
    <w:rsid w:val="00555792"/>
    <w:rsid w:val="00592764"/>
    <w:rsid w:val="00595C09"/>
    <w:rsid w:val="00595CB3"/>
    <w:rsid w:val="005B4AE4"/>
    <w:rsid w:val="005C2726"/>
    <w:rsid w:val="005D23EC"/>
    <w:rsid w:val="005D7693"/>
    <w:rsid w:val="006066C6"/>
    <w:rsid w:val="00617770"/>
    <w:rsid w:val="00621169"/>
    <w:rsid w:val="00623F26"/>
    <w:rsid w:val="00646131"/>
    <w:rsid w:val="00662AEE"/>
    <w:rsid w:val="00663768"/>
    <w:rsid w:val="00670052"/>
    <w:rsid w:val="00684A4C"/>
    <w:rsid w:val="0068573B"/>
    <w:rsid w:val="006924B2"/>
    <w:rsid w:val="006B2ABA"/>
    <w:rsid w:val="006B6F54"/>
    <w:rsid w:val="006D5DB0"/>
    <w:rsid w:val="006E433F"/>
    <w:rsid w:val="006F6B86"/>
    <w:rsid w:val="007013C9"/>
    <w:rsid w:val="00707331"/>
    <w:rsid w:val="0072251F"/>
    <w:rsid w:val="00724FAA"/>
    <w:rsid w:val="00727AC4"/>
    <w:rsid w:val="00737FE6"/>
    <w:rsid w:val="00753E55"/>
    <w:rsid w:val="00772A57"/>
    <w:rsid w:val="00781EFF"/>
    <w:rsid w:val="00791980"/>
    <w:rsid w:val="007A3913"/>
    <w:rsid w:val="007A555E"/>
    <w:rsid w:val="007E5EAA"/>
    <w:rsid w:val="007E6141"/>
    <w:rsid w:val="007F2095"/>
    <w:rsid w:val="00803480"/>
    <w:rsid w:val="00813E52"/>
    <w:rsid w:val="0081638E"/>
    <w:rsid w:val="00822B67"/>
    <w:rsid w:val="00822E59"/>
    <w:rsid w:val="00852B6D"/>
    <w:rsid w:val="00854CC5"/>
    <w:rsid w:val="008551A6"/>
    <w:rsid w:val="00874492"/>
    <w:rsid w:val="0088494C"/>
    <w:rsid w:val="00890E2F"/>
    <w:rsid w:val="008A2ADE"/>
    <w:rsid w:val="008A4738"/>
    <w:rsid w:val="008A693B"/>
    <w:rsid w:val="008B7F57"/>
    <w:rsid w:val="008E37A7"/>
    <w:rsid w:val="008F0EC4"/>
    <w:rsid w:val="008F3F9D"/>
    <w:rsid w:val="0090008D"/>
    <w:rsid w:val="009209C9"/>
    <w:rsid w:val="009231B5"/>
    <w:rsid w:val="00931682"/>
    <w:rsid w:val="00945479"/>
    <w:rsid w:val="00945F66"/>
    <w:rsid w:val="00951845"/>
    <w:rsid w:val="009575A5"/>
    <w:rsid w:val="00974CD0"/>
    <w:rsid w:val="009A12AB"/>
    <w:rsid w:val="009A5BB1"/>
    <w:rsid w:val="009C3398"/>
    <w:rsid w:val="009D0B25"/>
    <w:rsid w:val="009D15CA"/>
    <w:rsid w:val="009D6E06"/>
    <w:rsid w:val="009E0C8B"/>
    <w:rsid w:val="009F5497"/>
    <w:rsid w:val="00A000F0"/>
    <w:rsid w:val="00A054E2"/>
    <w:rsid w:val="00A174FE"/>
    <w:rsid w:val="00A449C2"/>
    <w:rsid w:val="00A44F29"/>
    <w:rsid w:val="00A669AC"/>
    <w:rsid w:val="00A673D9"/>
    <w:rsid w:val="00A86334"/>
    <w:rsid w:val="00A929D3"/>
    <w:rsid w:val="00AB4464"/>
    <w:rsid w:val="00AB733B"/>
    <w:rsid w:val="00AB7C5D"/>
    <w:rsid w:val="00AB7EF8"/>
    <w:rsid w:val="00AE3891"/>
    <w:rsid w:val="00AE7158"/>
    <w:rsid w:val="00AF24FD"/>
    <w:rsid w:val="00AF698A"/>
    <w:rsid w:val="00B11AC2"/>
    <w:rsid w:val="00B40BFE"/>
    <w:rsid w:val="00B556A6"/>
    <w:rsid w:val="00B55ED8"/>
    <w:rsid w:val="00B565F1"/>
    <w:rsid w:val="00B64CDA"/>
    <w:rsid w:val="00B97CBC"/>
    <w:rsid w:val="00BA7A88"/>
    <w:rsid w:val="00BB562B"/>
    <w:rsid w:val="00BB7380"/>
    <w:rsid w:val="00BD46F5"/>
    <w:rsid w:val="00BD6A54"/>
    <w:rsid w:val="00BD73EF"/>
    <w:rsid w:val="00BE23B8"/>
    <w:rsid w:val="00BF1FD7"/>
    <w:rsid w:val="00C03A5A"/>
    <w:rsid w:val="00C44463"/>
    <w:rsid w:val="00C51F66"/>
    <w:rsid w:val="00C70496"/>
    <w:rsid w:val="00C70F88"/>
    <w:rsid w:val="00C91F1F"/>
    <w:rsid w:val="00CA179A"/>
    <w:rsid w:val="00CA5071"/>
    <w:rsid w:val="00CC0606"/>
    <w:rsid w:val="00CC3272"/>
    <w:rsid w:val="00CC3FBB"/>
    <w:rsid w:val="00CE2BED"/>
    <w:rsid w:val="00CE4FF1"/>
    <w:rsid w:val="00CF29AF"/>
    <w:rsid w:val="00D01A12"/>
    <w:rsid w:val="00D02F2A"/>
    <w:rsid w:val="00D14178"/>
    <w:rsid w:val="00D146AA"/>
    <w:rsid w:val="00D27F94"/>
    <w:rsid w:val="00D35672"/>
    <w:rsid w:val="00D40D24"/>
    <w:rsid w:val="00D554C1"/>
    <w:rsid w:val="00D74AD8"/>
    <w:rsid w:val="00D849F5"/>
    <w:rsid w:val="00D84C47"/>
    <w:rsid w:val="00D85A7D"/>
    <w:rsid w:val="00DA4414"/>
    <w:rsid w:val="00DA791D"/>
    <w:rsid w:val="00DB36C7"/>
    <w:rsid w:val="00DB480B"/>
    <w:rsid w:val="00DC1558"/>
    <w:rsid w:val="00DC5B52"/>
    <w:rsid w:val="00DD4F2F"/>
    <w:rsid w:val="00DE7578"/>
    <w:rsid w:val="00E131B3"/>
    <w:rsid w:val="00E40E3D"/>
    <w:rsid w:val="00E4611B"/>
    <w:rsid w:val="00E64729"/>
    <w:rsid w:val="00E76F53"/>
    <w:rsid w:val="00E81C70"/>
    <w:rsid w:val="00E85AF6"/>
    <w:rsid w:val="00EA5D37"/>
    <w:rsid w:val="00EA64CD"/>
    <w:rsid w:val="00EC0BC0"/>
    <w:rsid w:val="00EC15C9"/>
    <w:rsid w:val="00EE3D9A"/>
    <w:rsid w:val="00EE5F4C"/>
    <w:rsid w:val="00EF1A82"/>
    <w:rsid w:val="00EF4338"/>
    <w:rsid w:val="00F02BCF"/>
    <w:rsid w:val="00F1271E"/>
    <w:rsid w:val="00F15318"/>
    <w:rsid w:val="00F20D3C"/>
    <w:rsid w:val="00F327ED"/>
    <w:rsid w:val="00F45859"/>
    <w:rsid w:val="00F60B75"/>
    <w:rsid w:val="00F906DB"/>
    <w:rsid w:val="00F92834"/>
    <w:rsid w:val="00F93BFC"/>
    <w:rsid w:val="00FB05F9"/>
    <w:rsid w:val="00FB4BFA"/>
    <w:rsid w:val="00FC402A"/>
    <w:rsid w:val="00FC40D2"/>
    <w:rsid w:val="00FD0B41"/>
    <w:rsid w:val="00FD5D58"/>
    <w:rsid w:val="00FF0578"/>
    <w:rsid w:val="00FF3248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16BF"/>
  <w15:docId w15:val="{1C09BFB3-9DB1-4BD1-9309-3B4F5C39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33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F29AF"/>
  </w:style>
  <w:style w:type="paragraph" w:styleId="a5">
    <w:name w:val="List Paragraph"/>
    <w:basedOn w:val="a"/>
    <w:uiPriority w:val="34"/>
    <w:qFormat/>
    <w:rsid w:val="00CF29AF"/>
    <w:pPr>
      <w:ind w:left="720"/>
      <w:contextualSpacing/>
    </w:pPr>
  </w:style>
  <w:style w:type="table" w:styleId="a6">
    <w:name w:val="Table Grid"/>
    <w:basedOn w:val="a1"/>
    <w:uiPriority w:val="59"/>
    <w:rsid w:val="00AB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7F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FC18-9E32-4AE9-A232-3A151ABE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Афипский НПЗ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Наталья Сергеевна</dc:creator>
  <cp:lastModifiedBy>Занина Александра Валерьевна</cp:lastModifiedBy>
  <cp:revision>28</cp:revision>
  <cp:lastPrinted>2019-11-14T10:35:00Z</cp:lastPrinted>
  <dcterms:created xsi:type="dcterms:W3CDTF">2019-06-21T07:09:00Z</dcterms:created>
  <dcterms:modified xsi:type="dcterms:W3CDTF">2022-09-01T12:40:00Z</dcterms:modified>
</cp:coreProperties>
</file>