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C5D" w:rsidRDefault="00AB7C5D" w:rsidP="004B1FE8">
      <w:pPr>
        <w:pStyle w:val="a5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B4BFA" w:rsidRPr="00FB4BFA" w:rsidRDefault="00FB4BFA" w:rsidP="00FB4BFA">
      <w:pPr>
        <w:overflowPunct w:val="0"/>
        <w:autoSpaceDE w:val="0"/>
        <w:autoSpaceDN w:val="0"/>
        <w:adjustRightInd w:val="0"/>
        <w:spacing w:after="0" w:line="240" w:lineRule="auto"/>
        <w:ind w:left="2160"/>
        <w:jc w:val="right"/>
        <w:textAlignment w:val="baseline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FB4BFA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№ </w:t>
      </w:r>
      <w:r w:rsidR="00105628">
        <w:rPr>
          <w:rFonts w:ascii="Times New Roman" w:eastAsia="Times New Roman" w:hAnsi="Times New Roman" w:cs="Times New Roman"/>
          <w:iCs/>
          <w:szCs w:val="24"/>
          <w:lang w:eastAsia="ru-RU"/>
        </w:rPr>
        <w:t>17</w:t>
      </w:r>
    </w:p>
    <w:p w:rsidR="00FB4BFA" w:rsidRPr="00FB4BFA" w:rsidRDefault="00FB4BFA" w:rsidP="00FB4BFA">
      <w:pPr>
        <w:overflowPunct w:val="0"/>
        <w:autoSpaceDE w:val="0"/>
        <w:autoSpaceDN w:val="0"/>
        <w:adjustRightInd w:val="0"/>
        <w:spacing w:after="0" w:line="240" w:lineRule="auto"/>
        <w:ind w:left="2160"/>
        <w:jc w:val="right"/>
        <w:textAlignment w:val="baseline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FB4BFA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к Договору </w:t>
      </w:r>
      <w:r w:rsidR="0022401A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генерального </w:t>
      </w:r>
      <w:r w:rsidRPr="00FB4BFA">
        <w:rPr>
          <w:rFonts w:ascii="Times New Roman" w:eastAsia="Times New Roman" w:hAnsi="Times New Roman" w:cs="Times New Roman"/>
          <w:iCs/>
          <w:szCs w:val="24"/>
          <w:lang w:eastAsia="ru-RU"/>
        </w:rPr>
        <w:t>подряда №____________________</w:t>
      </w:r>
    </w:p>
    <w:p w:rsidR="008B7F57" w:rsidRPr="00702BEA" w:rsidRDefault="00FB4BFA" w:rsidP="00FB4BFA">
      <w:pPr>
        <w:overflowPunct w:val="0"/>
        <w:autoSpaceDE w:val="0"/>
        <w:autoSpaceDN w:val="0"/>
        <w:adjustRightInd w:val="0"/>
        <w:spacing w:after="0" w:line="240" w:lineRule="auto"/>
        <w:ind w:left="2160"/>
        <w:jc w:val="right"/>
        <w:textAlignment w:val="baseline"/>
        <w:rPr>
          <w:rFonts w:ascii="Times New Roman" w:hAnsi="Times New Roman"/>
          <w:szCs w:val="20"/>
        </w:rPr>
      </w:pPr>
      <w:r w:rsidRPr="00FB4BFA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 </w:t>
      </w:r>
      <w:r w:rsidR="00663768" w:rsidRPr="0066376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от </w:t>
      </w:r>
      <w:proofErr w:type="gramStart"/>
      <w:r w:rsidR="00663768" w:rsidRPr="0066376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« </w:t>
      </w:r>
      <w:r w:rsidR="00052B6C">
        <w:rPr>
          <w:rFonts w:ascii="Times New Roman" w:eastAsia="Times New Roman" w:hAnsi="Times New Roman" w:cs="Times New Roman"/>
          <w:iCs/>
          <w:szCs w:val="24"/>
          <w:lang w:eastAsia="ru-RU"/>
        </w:rPr>
        <w:t>_</w:t>
      </w:r>
      <w:proofErr w:type="gramEnd"/>
      <w:r w:rsidR="00052B6C">
        <w:rPr>
          <w:rFonts w:ascii="Times New Roman" w:eastAsia="Times New Roman" w:hAnsi="Times New Roman" w:cs="Times New Roman"/>
          <w:iCs/>
          <w:szCs w:val="24"/>
          <w:lang w:eastAsia="ru-RU"/>
        </w:rPr>
        <w:t>____</w:t>
      </w:r>
      <w:r w:rsidR="00663768" w:rsidRPr="0066376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 » </w:t>
      </w:r>
      <w:r w:rsidR="00052B6C">
        <w:rPr>
          <w:rFonts w:ascii="Times New Roman" w:eastAsia="Times New Roman" w:hAnsi="Times New Roman" w:cs="Times New Roman"/>
          <w:iCs/>
          <w:szCs w:val="24"/>
          <w:lang w:eastAsia="ru-RU"/>
        </w:rPr>
        <w:t>_______________</w:t>
      </w:r>
      <w:r w:rsidR="00663768" w:rsidRPr="0066376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 202</w:t>
      </w:r>
      <w:r w:rsidR="00531983">
        <w:rPr>
          <w:rFonts w:ascii="Times New Roman" w:eastAsia="Times New Roman" w:hAnsi="Times New Roman" w:cs="Times New Roman"/>
          <w:iCs/>
          <w:szCs w:val="24"/>
          <w:lang w:eastAsia="ru-RU"/>
        </w:rPr>
        <w:t>3</w:t>
      </w:r>
      <w:r w:rsidR="00663768" w:rsidRPr="0066376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 г.</w:t>
      </w:r>
    </w:p>
    <w:p w:rsidR="00AB7C5D" w:rsidRDefault="00AB7C5D" w:rsidP="00AB7C5D">
      <w:pPr>
        <w:pStyle w:val="a5"/>
        <w:spacing w:after="0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B7C5D" w:rsidRDefault="00AB7C5D" w:rsidP="00AB7C5D">
      <w:pPr>
        <w:pStyle w:val="a5"/>
        <w:spacing w:after="0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3055D" w:rsidRDefault="00AB7C5D" w:rsidP="00AB7C5D">
      <w:pPr>
        <w:pStyle w:val="a5"/>
        <w:spacing w:after="0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891">
        <w:rPr>
          <w:rFonts w:ascii="Times New Roman" w:hAnsi="Times New Roman" w:cs="Times New Roman"/>
          <w:b/>
          <w:sz w:val="24"/>
          <w:szCs w:val="24"/>
        </w:rPr>
        <w:t>Требования к возвр</w:t>
      </w:r>
      <w:r w:rsidR="0052635C">
        <w:rPr>
          <w:rFonts w:ascii="Times New Roman" w:hAnsi="Times New Roman" w:cs="Times New Roman"/>
          <w:b/>
          <w:sz w:val="24"/>
          <w:szCs w:val="24"/>
        </w:rPr>
        <w:t>ащаемым</w:t>
      </w:r>
      <w:r w:rsidRPr="00AE38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3891" w:rsidRPr="00AE3891">
        <w:rPr>
          <w:rFonts w:ascii="Times New Roman" w:hAnsi="Times New Roman" w:cs="Times New Roman"/>
          <w:b/>
          <w:sz w:val="24"/>
          <w:szCs w:val="24"/>
        </w:rPr>
        <w:t>материально-техническим ресурсам</w:t>
      </w:r>
      <w:r w:rsidR="0052635C">
        <w:rPr>
          <w:rFonts w:ascii="Times New Roman" w:hAnsi="Times New Roman" w:cs="Times New Roman"/>
          <w:b/>
          <w:sz w:val="24"/>
          <w:szCs w:val="24"/>
        </w:rPr>
        <w:t xml:space="preserve"> на склады </w:t>
      </w:r>
    </w:p>
    <w:p w:rsidR="00AB7C5D" w:rsidRPr="00AE3891" w:rsidRDefault="0052635C" w:rsidP="00AB7C5D">
      <w:pPr>
        <w:pStyle w:val="a5"/>
        <w:spacing w:after="0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ООО «Афипский НПЗ»</w:t>
      </w:r>
    </w:p>
    <w:p w:rsidR="00AB7C5D" w:rsidRDefault="00AB7C5D" w:rsidP="00AB7C5D">
      <w:pPr>
        <w:pStyle w:val="a5"/>
        <w:spacing w:after="0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0343" w:type="dxa"/>
        <w:tblInd w:w="-147" w:type="dxa"/>
        <w:tblLook w:val="04A0" w:firstRow="1" w:lastRow="0" w:firstColumn="1" w:lastColumn="0" w:noHBand="0" w:noVBand="1"/>
      </w:tblPr>
      <w:tblGrid>
        <w:gridCol w:w="567"/>
        <w:gridCol w:w="3650"/>
        <w:gridCol w:w="6126"/>
      </w:tblGrid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AB7C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AB7C5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МТР</w:t>
            </w:r>
            <w:r w:rsidRPr="00AB7C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AB7C5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требований к возврату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0" w:type="dxa"/>
          </w:tcPr>
          <w:p w:rsidR="00AB7C5D" w:rsidRPr="00AB7C5D" w:rsidRDefault="00AB7C5D" w:rsidP="001D7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Прокат листовой </w:t>
            </w:r>
          </w:p>
        </w:tc>
        <w:tc>
          <w:tcPr>
            <w:tcW w:w="6126" w:type="dxa"/>
          </w:tcPr>
          <w:p w:rsidR="00AB7C5D" w:rsidRPr="00AB7C5D" w:rsidRDefault="0052635C" w:rsidP="00304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Длинна листа должна быть н</w:t>
            </w:r>
            <w:r w:rsidR="00AB7C5D"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е менее </w:t>
            </w:r>
            <w:r w:rsidR="00304CB8">
              <w:rPr>
                <w:rFonts w:ascii="Times New Roman" w:hAnsi="Times New Roman" w:cs="Times New Roman"/>
                <w:sz w:val="24"/>
                <w:szCs w:val="24"/>
              </w:rPr>
              <w:t xml:space="preserve">500 </w:t>
            </w:r>
            <w:r w:rsidR="00AB7C5D" w:rsidRPr="00AB7C5D">
              <w:rPr>
                <w:rFonts w:ascii="Times New Roman" w:hAnsi="Times New Roman" w:cs="Times New Roman"/>
                <w:sz w:val="24"/>
                <w:szCs w:val="24"/>
              </w:rPr>
              <w:t>мм со всех сторон</w:t>
            </w:r>
            <w:r w:rsidR="00304CB8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раскроя.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0" w:type="dxa"/>
          </w:tcPr>
          <w:p w:rsidR="00AB7C5D" w:rsidRPr="00AB7C5D" w:rsidRDefault="00AB7C5D" w:rsidP="001D7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Трубы </w:t>
            </w:r>
          </w:p>
        </w:tc>
        <w:tc>
          <w:tcPr>
            <w:tcW w:w="6126" w:type="dxa"/>
          </w:tcPr>
          <w:p w:rsidR="00AB7C5D" w:rsidRPr="00AB7C5D" w:rsidRDefault="00AB7C5D" w:rsidP="004E7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Длина трубы должна быть не менее 100</w:t>
            </w:r>
            <w:r w:rsidR="004E77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04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мм </w:t>
            </w:r>
            <w:proofErr w:type="gramStart"/>
            <w:r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4E7761">
              <w:rPr>
                <w:rFonts w:ascii="Times New Roman" w:hAnsi="Times New Roman" w:cs="Times New Roman"/>
                <w:sz w:val="24"/>
                <w:szCs w:val="24"/>
              </w:rPr>
              <w:t xml:space="preserve"> всех</w:t>
            </w:r>
            <w:proofErr w:type="gramEnd"/>
            <w:r w:rsidR="004E7761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диаметров.</w:t>
            </w: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Труба для выполнения трубной проводки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Обрезки не менее 2-х метров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Труба н/ж диаметром до 12мм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Обрезки не менее 1-го метра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Металлорукав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Обрезки не менее 1-го метра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Кабель силовой сечением от 10мм кв.</w:t>
            </w:r>
          </w:p>
        </w:tc>
        <w:tc>
          <w:tcPr>
            <w:tcW w:w="6126" w:type="dxa"/>
          </w:tcPr>
          <w:p w:rsidR="00AB7C5D" w:rsidRPr="00AB7C5D" w:rsidRDefault="00974CD0" w:rsidP="00A86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CD0">
              <w:rPr>
                <w:rFonts w:ascii="Times New Roman" w:hAnsi="Times New Roman" w:cs="Times New Roman"/>
                <w:sz w:val="24"/>
                <w:szCs w:val="24"/>
              </w:rPr>
              <w:t>Минимальная длина одного отрезка – 100 метров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Кабель и провод сечением до 10мм кв. </w:t>
            </w:r>
          </w:p>
        </w:tc>
        <w:tc>
          <w:tcPr>
            <w:tcW w:w="6126" w:type="dxa"/>
          </w:tcPr>
          <w:p w:rsidR="00B40BFE" w:rsidRPr="00AB7C5D" w:rsidRDefault="00974CD0" w:rsidP="00A86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CD0">
              <w:rPr>
                <w:rFonts w:ascii="Times New Roman" w:hAnsi="Times New Roman" w:cs="Times New Roman"/>
                <w:sz w:val="24"/>
                <w:szCs w:val="24"/>
              </w:rPr>
              <w:t>Минимальная длина одного отрезка - 50 метров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Кабеленесущие конструкции (кабельные лотки, крышки, короба, полки, стойки)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Комплектация в соответствии с требованием завода изготовителя, только целые конструкции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Коробки взрывозащищенные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В комплекте с взрывозащищенными кабельными вводами (наличие паспортов и сертификатов на каждое изделие)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Полоса горячекатаная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Обрезки не менее 1-го метра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Штучные материалы (болты, скобы, анкера, фитинги, муфты и т.д.)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Только в полной комплектности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Детали фасонные (отводы, переходы, заглушки, тройники технологического оборудования)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Без раскроя продукции на части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Поковки и штамповки (элементы технологического оборудования)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Без раскроя продукции на части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Фланцы (технологического оборудования)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Без раскроя продукции на части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Крепежные изделия (шпильки, болты, гайки технологического оборудования)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Без раскроя продукции на части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Сборочные блоки (трубные пучки технологических теплообменников, печные змеевики, узлы технологических трубопроводов и т.п.)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Без раскроя продукции на части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Сосуды и аппараты (технологические)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Без раскроя продукции на части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Сопроводительная документация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предусмотренной в НД сопроводительной документации (сертификаты, декларации соответствия для продукции, подлежащей обязательной сертификации, сертификатов на материалы и комплектующие изделия, паспортов, инструкций, </w:t>
            </w:r>
            <w:r w:rsidRPr="00AB7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чертежей, комплектовочных ведомостей, упаковочных листов, технической документации)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Материалы, ЗИП к материалам и оборудованию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Комплектность поступивших материалов, ЗИП к материалам и оборудованию, на соответствие переданным материалам со складского хозяйства, упаковочным листам, комплектовочной ведомости и чертежам, проверка целостности упаковки и консервации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Маркировка и соответствие данным сертификата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Наличие заводской маркировки и ее соответствие данным сертификата или паспорта на изделие, наличие номера учетной карточки склада, а также требованиям государственных или отраслевых стандартов, или правил Ростехнадзора, а именно:</w:t>
            </w:r>
          </w:p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- должна быть нанесена в обязательном порядке на любой продукции методом (даже в случае единичной поставки), обеспечивающим сохранность на любом этапе движения продукции (транспортировки, хранения, проведения входного контроля и выдачи в производство, монтажа)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Раскрой продукции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Если происходит раскрой продукции на части, то на каждую из них необходимо нанести идентичную маркировку. Маркировка должна наносится тем же способом, который применялся изготовителем. При этом, маркировку наносят специалисты подразделения (</w:t>
            </w:r>
            <w:r w:rsidR="0022401A">
              <w:rPr>
                <w:rFonts w:ascii="Times New Roman" w:hAnsi="Times New Roman" w:cs="Times New Roman"/>
                <w:sz w:val="24"/>
                <w:szCs w:val="24"/>
              </w:rPr>
              <w:t>Генподряд</w:t>
            </w: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чика), выполнившие раскрой продукции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bookmarkEnd w:id="0"/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Контроль за сохранностью продукции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Контроль не повреждаемости материалов и сохранность заводской и складской маркировки. При использовании част</w:t>
            </w:r>
            <w:r w:rsidR="00737FE6">
              <w:rPr>
                <w:rFonts w:ascii="Times New Roman" w:hAnsi="Times New Roman" w:cs="Times New Roman"/>
                <w:sz w:val="24"/>
                <w:szCs w:val="24"/>
              </w:rPr>
              <w:t>и изделия (листа, трубы и т.д.), н</w:t>
            </w: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апример, для испытаний, на </w:t>
            </w:r>
            <w:r w:rsidR="00737FE6" w:rsidRPr="00AB7C5D">
              <w:rPr>
                <w:rFonts w:ascii="Times New Roman" w:hAnsi="Times New Roman" w:cs="Times New Roman"/>
                <w:sz w:val="24"/>
                <w:szCs w:val="24"/>
              </w:rPr>
              <w:t>оста</w:t>
            </w:r>
            <w:r w:rsidR="00737F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37FE6" w:rsidRPr="00AB7C5D">
              <w:rPr>
                <w:rFonts w:ascii="Times New Roman" w:hAnsi="Times New Roman" w:cs="Times New Roman"/>
                <w:sz w:val="24"/>
                <w:szCs w:val="24"/>
              </w:rPr>
              <w:t>шейся</w:t>
            </w: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 части изделия, маркировка должна быть воспроизведена вновь.</w:t>
            </w:r>
          </w:p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Отсутствие поверхностных дефектов, повреждений, изменений геометрических размеров и отклонений от естественной формы (например, овальности).</w:t>
            </w:r>
          </w:p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Отсутствие дефектов, порчи продукции, при несоблюдении правил хранения продукции и при проведении погрузо-разгрузочных работ.</w:t>
            </w:r>
          </w:p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Продукцию следует сдавать каждой отдельной партией, во избежание последующей пересортицы при дальнейшем хранении на складе и выдаче в повторное производство работ</w:t>
            </w:r>
          </w:p>
        </w:tc>
      </w:tr>
    </w:tbl>
    <w:p w:rsidR="00AB7C5D" w:rsidRPr="00AB7C5D" w:rsidRDefault="00AB7C5D" w:rsidP="00AB7C5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842" w:type="dxa"/>
        <w:tblLayout w:type="fixed"/>
        <w:tblLook w:val="01E0" w:firstRow="1" w:lastRow="1" w:firstColumn="1" w:lastColumn="1" w:noHBand="0" w:noVBand="0"/>
      </w:tblPr>
      <w:tblGrid>
        <w:gridCol w:w="5245"/>
        <w:gridCol w:w="6597"/>
      </w:tblGrid>
      <w:tr w:rsidR="00451CD5" w:rsidRPr="001A388F" w:rsidTr="002A1371">
        <w:tc>
          <w:tcPr>
            <w:tcW w:w="5245" w:type="dxa"/>
          </w:tcPr>
          <w:p w:rsidR="00451CD5" w:rsidRPr="001A388F" w:rsidRDefault="00451CD5" w:rsidP="002A1371">
            <w:pPr>
              <w:widowControl w:val="0"/>
              <w:tabs>
                <w:tab w:val="left" w:pos="567"/>
              </w:tabs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  <w:t xml:space="preserve">ЗАКАЗЧИК: </w:t>
            </w:r>
          </w:p>
          <w:p w:rsidR="00451CD5" w:rsidRPr="001A388F" w:rsidRDefault="00451CD5" w:rsidP="002A1371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451CD5" w:rsidRPr="001A388F" w:rsidRDefault="00451CD5" w:rsidP="002A1371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«Афипский НПЗ»</w:t>
            </w:r>
          </w:p>
          <w:p w:rsidR="00451CD5" w:rsidRPr="001A388F" w:rsidRDefault="00451CD5" w:rsidP="002A1371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CD5" w:rsidRPr="001A388F" w:rsidRDefault="00451CD5" w:rsidP="002A1371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1A388F">
              <w:rPr>
                <w:rFonts w:eastAsiaTheme="minorEastAsia" w:cs="Times New Roman"/>
                <w:lang w:eastAsia="ru-RU"/>
              </w:rPr>
              <w:t xml:space="preserve"> </w:t>
            </w:r>
            <w:r w:rsidRPr="00711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А.В. Сидоров </w:t>
            </w:r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451CD5" w:rsidRPr="001A388F" w:rsidRDefault="00451CD5" w:rsidP="002A1371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97" w:type="dxa"/>
          </w:tcPr>
          <w:p w:rsidR="00451CD5" w:rsidRPr="001A388F" w:rsidRDefault="00451CD5" w:rsidP="002A1371">
            <w:pPr>
              <w:tabs>
                <w:tab w:val="left" w:pos="794"/>
                <w:tab w:val="left" w:pos="964"/>
                <w:tab w:val="right" w:pos="90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ГЕНПОДРЯДЧИК</w:t>
            </w:r>
            <w:r w:rsidRPr="001A3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451CD5" w:rsidRDefault="00451CD5" w:rsidP="002A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</w:p>
          <w:p w:rsidR="00451CD5" w:rsidRPr="001A388F" w:rsidRDefault="00451CD5" w:rsidP="002A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ООО 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________</w:t>
            </w:r>
            <w:r w:rsidRPr="001A388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»</w:t>
            </w:r>
          </w:p>
          <w:p w:rsidR="00451CD5" w:rsidRPr="001A388F" w:rsidRDefault="00451CD5" w:rsidP="002A1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CD5" w:rsidRPr="001A388F" w:rsidRDefault="00451CD5" w:rsidP="002A1371">
            <w:pPr>
              <w:tabs>
                <w:tab w:val="left" w:pos="794"/>
                <w:tab w:val="left" w:pos="964"/>
                <w:tab w:val="right" w:pos="90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_____________________/</w:t>
            </w:r>
            <w:r w:rsidRPr="001A388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</w:t>
            </w:r>
            <w:r w:rsidRPr="001A38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</w:t>
            </w:r>
          </w:p>
          <w:p w:rsidR="00451CD5" w:rsidRPr="001A388F" w:rsidRDefault="00451CD5" w:rsidP="002A1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51CD5" w:rsidRPr="001A388F" w:rsidRDefault="00451CD5" w:rsidP="002A137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</w:p>
        </w:tc>
      </w:tr>
    </w:tbl>
    <w:p w:rsidR="00AB7C5D" w:rsidRPr="00F906DB" w:rsidRDefault="00AB7C5D" w:rsidP="008B7F57">
      <w:pPr>
        <w:pStyle w:val="a5"/>
        <w:spacing w:after="0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AB7C5D" w:rsidRPr="00F906DB" w:rsidSect="00C03A5A">
      <w:pgSz w:w="11906" w:h="16838"/>
      <w:pgMar w:top="567" w:right="70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C6F4F"/>
    <w:multiLevelType w:val="hybridMultilevel"/>
    <w:tmpl w:val="DE60CAA4"/>
    <w:lvl w:ilvl="0" w:tplc="7A1849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9F3E77"/>
    <w:multiLevelType w:val="hybridMultilevel"/>
    <w:tmpl w:val="78BA0258"/>
    <w:lvl w:ilvl="0" w:tplc="493AB78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090427"/>
    <w:multiLevelType w:val="hybridMultilevel"/>
    <w:tmpl w:val="34308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872BE"/>
    <w:multiLevelType w:val="hybridMultilevel"/>
    <w:tmpl w:val="48565D7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34D40"/>
    <w:multiLevelType w:val="hybridMultilevel"/>
    <w:tmpl w:val="786E9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B4CF1"/>
    <w:multiLevelType w:val="hybridMultilevel"/>
    <w:tmpl w:val="DA4070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7959E9"/>
    <w:multiLevelType w:val="hybridMultilevel"/>
    <w:tmpl w:val="05F84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C618E"/>
    <w:multiLevelType w:val="hybridMultilevel"/>
    <w:tmpl w:val="A55AF62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42CC4495"/>
    <w:multiLevelType w:val="hybridMultilevel"/>
    <w:tmpl w:val="67884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E5452E"/>
    <w:multiLevelType w:val="hybridMultilevel"/>
    <w:tmpl w:val="B9C0B46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4FB230CE"/>
    <w:multiLevelType w:val="hybridMultilevel"/>
    <w:tmpl w:val="2B6C348C"/>
    <w:lvl w:ilvl="0" w:tplc="B4EA14D8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9E87245"/>
    <w:multiLevelType w:val="hybridMultilevel"/>
    <w:tmpl w:val="662AF33E"/>
    <w:lvl w:ilvl="0" w:tplc="174654C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616D673A"/>
    <w:multiLevelType w:val="hybridMultilevel"/>
    <w:tmpl w:val="CC601918"/>
    <w:lvl w:ilvl="0" w:tplc="46EC452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61F23E4B"/>
    <w:multiLevelType w:val="hybridMultilevel"/>
    <w:tmpl w:val="9DE60F84"/>
    <w:lvl w:ilvl="0" w:tplc="8AFA43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9"/>
  </w:num>
  <w:num w:numId="6">
    <w:abstractNumId w:val="11"/>
  </w:num>
  <w:num w:numId="7">
    <w:abstractNumId w:val="3"/>
  </w:num>
  <w:num w:numId="8">
    <w:abstractNumId w:val="2"/>
  </w:num>
  <w:num w:numId="9">
    <w:abstractNumId w:val="12"/>
  </w:num>
  <w:num w:numId="10">
    <w:abstractNumId w:val="13"/>
  </w:num>
  <w:num w:numId="11">
    <w:abstractNumId w:val="4"/>
  </w:num>
  <w:num w:numId="12">
    <w:abstractNumId w:val="0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AF6"/>
    <w:rsid w:val="000006FE"/>
    <w:rsid w:val="000234DE"/>
    <w:rsid w:val="00025E9C"/>
    <w:rsid w:val="000348E1"/>
    <w:rsid w:val="000379F2"/>
    <w:rsid w:val="00047F1E"/>
    <w:rsid w:val="00052B6C"/>
    <w:rsid w:val="0005300C"/>
    <w:rsid w:val="00061332"/>
    <w:rsid w:val="00063226"/>
    <w:rsid w:val="00064A25"/>
    <w:rsid w:val="00074C4B"/>
    <w:rsid w:val="000935DA"/>
    <w:rsid w:val="00097FA3"/>
    <w:rsid w:val="000A1A11"/>
    <w:rsid w:val="000A24F1"/>
    <w:rsid w:val="000F1DF0"/>
    <w:rsid w:val="000F276C"/>
    <w:rsid w:val="000F43D8"/>
    <w:rsid w:val="00105628"/>
    <w:rsid w:val="00126D74"/>
    <w:rsid w:val="001349CA"/>
    <w:rsid w:val="00145568"/>
    <w:rsid w:val="001468C7"/>
    <w:rsid w:val="00157DE5"/>
    <w:rsid w:val="0018057C"/>
    <w:rsid w:val="001833F6"/>
    <w:rsid w:val="00186EBF"/>
    <w:rsid w:val="001C0968"/>
    <w:rsid w:val="001C0AEE"/>
    <w:rsid w:val="001C6771"/>
    <w:rsid w:val="001D24F0"/>
    <w:rsid w:val="001D62B8"/>
    <w:rsid w:val="001D7850"/>
    <w:rsid w:val="001E6A52"/>
    <w:rsid w:val="001F0B78"/>
    <w:rsid w:val="00205FDD"/>
    <w:rsid w:val="0022115F"/>
    <w:rsid w:val="0022401A"/>
    <w:rsid w:val="0023055D"/>
    <w:rsid w:val="00231A87"/>
    <w:rsid w:val="002343DE"/>
    <w:rsid w:val="00251702"/>
    <w:rsid w:val="00257BA3"/>
    <w:rsid w:val="0026386B"/>
    <w:rsid w:val="00272888"/>
    <w:rsid w:val="002752D5"/>
    <w:rsid w:val="0029298E"/>
    <w:rsid w:val="0029435B"/>
    <w:rsid w:val="00294C91"/>
    <w:rsid w:val="00295339"/>
    <w:rsid w:val="002B411B"/>
    <w:rsid w:val="003028F9"/>
    <w:rsid w:val="00304CB8"/>
    <w:rsid w:val="00306BFA"/>
    <w:rsid w:val="00310B13"/>
    <w:rsid w:val="00312516"/>
    <w:rsid w:val="00315CC3"/>
    <w:rsid w:val="00316F93"/>
    <w:rsid w:val="003315A1"/>
    <w:rsid w:val="00334783"/>
    <w:rsid w:val="00336959"/>
    <w:rsid w:val="00350877"/>
    <w:rsid w:val="00371A99"/>
    <w:rsid w:val="00371CDD"/>
    <w:rsid w:val="00385A95"/>
    <w:rsid w:val="00387159"/>
    <w:rsid w:val="003912B8"/>
    <w:rsid w:val="0039516F"/>
    <w:rsid w:val="003962A8"/>
    <w:rsid w:val="003B527B"/>
    <w:rsid w:val="003D444A"/>
    <w:rsid w:val="003F4637"/>
    <w:rsid w:val="00404A7F"/>
    <w:rsid w:val="00413D09"/>
    <w:rsid w:val="00427821"/>
    <w:rsid w:val="0043607A"/>
    <w:rsid w:val="00436B0F"/>
    <w:rsid w:val="00436F1D"/>
    <w:rsid w:val="0044330C"/>
    <w:rsid w:val="00451CD5"/>
    <w:rsid w:val="00463AF9"/>
    <w:rsid w:val="0047054D"/>
    <w:rsid w:val="004A4480"/>
    <w:rsid w:val="004A5924"/>
    <w:rsid w:val="004B1FE8"/>
    <w:rsid w:val="004B2ABD"/>
    <w:rsid w:val="004D1B70"/>
    <w:rsid w:val="004D23D4"/>
    <w:rsid w:val="004E7761"/>
    <w:rsid w:val="004F3C09"/>
    <w:rsid w:val="004F4496"/>
    <w:rsid w:val="00501449"/>
    <w:rsid w:val="00502963"/>
    <w:rsid w:val="00517DB2"/>
    <w:rsid w:val="00520E05"/>
    <w:rsid w:val="0052635C"/>
    <w:rsid w:val="00531983"/>
    <w:rsid w:val="005338E9"/>
    <w:rsid w:val="00542815"/>
    <w:rsid w:val="00546D67"/>
    <w:rsid w:val="00551AAE"/>
    <w:rsid w:val="00555792"/>
    <w:rsid w:val="00592764"/>
    <w:rsid w:val="00595C09"/>
    <w:rsid w:val="00595CB3"/>
    <w:rsid w:val="00596BBD"/>
    <w:rsid w:val="005B4AE4"/>
    <w:rsid w:val="005C2726"/>
    <w:rsid w:val="005D23EC"/>
    <w:rsid w:val="005D7693"/>
    <w:rsid w:val="006066C6"/>
    <w:rsid w:val="00617770"/>
    <w:rsid w:val="00621169"/>
    <w:rsid w:val="00623F26"/>
    <w:rsid w:val="00646131"/>
    <w:rsid w:val="00662AEE"/>
    <w:rsid w:val="00663768"/>
    <w:rsid w:val="00670052"/>
    <w:rsid w:val="00684A4C"/>
    <w:rsid w:val="0068573B"/>
    <w:rsid w:val="006924B2"/>
    <w:rsid w:val="006B2ABA"/>
    <w:rsid w:val="006B6F54"/>
    <w:rsid w:val="006D5DB0"/>
    <w:rsid w:val="006E433F"/>
    <w:rsid w:val="006F6B86"/>
    <w:rsid w:val="007013C9"/>
    <w:rsid w:val="00707331"/>
    <w:rsid w:val="0072251F"/>
    <w:rsid w:val="00724FAA"/>
    <w:rsid w:val="00727AC4"/>
    <w:rsid w:val="00737FE6"/>
    <w:rsid w:val="00753E55"/>
    <w:rsid w:val="00772A57"/>
    <w:rsid w:val="00781EFF"/>
    <w:rsid w:val="00791980"/>
    <w:rsid w:val="007A3913"/>
    <w:rsid w:val="007A555E"/>
    <w:rsid w:val="007E5EAA"/>
    <w:rsid w:val="007E6141"/>
    <w:rsid w:val="007F2095"/>
    <w:rsid w:val="00803480"/>
    <w:rsid w:val="00813E52"/>
    <w:rsid w:val="0081638E"/>
    <w:rsid w:val="00822B67"/>
    <w:rsid w:val="00822E59"/>
    <w:rsid w:val="00852B6D"/>
    <w:rsid w:val="00854CC5"/>
    <w:rsid w:val="008551A6"/>
    <w:rsid w:val="00874492"/>
    <w:rsid w:val="0088494C"/>
    <w:rsid w:val="00890E2F"/>
    <w:rsid w:val="008A2ADE"/>
    <w:rsid w:val="008A4738"/>
    <w:rsid w:val="008A693B"/>
    <w:rsid w:val="008B7F57"/>
    <w:rsid w:val="008E37A7"/>
    <w:rsid w:val="008F0EC4"/>
    <w:rsid w:val="008F3F9D"/>
    <w:rsid w:val="0090008D"/>
    <w:rsid w:val="009209C9"/>
    <w:rsid w:val="009231B5"/>
    <w:rsid w:val="00931682"/>
    <w:rsid w:val="00945479"/>
    <w:rsid w:val="00945F66"/>
    <w:rsid w:val="00951845"/>
    <w:rsid w:val="009575A5"/>
    <w:rsid w:val="00974CD0"/>
    <w:rsid w:val="009A12AB"/>
    <w:rsid w:val="009A5BB1"/>
    <w:rsid w:val="009C3398"/>
    <w:rsid w:val="009D0B25"/>
    <w:rsid w:val="009D15CA"/>
    <w:rsid w:val="009D6E06"/>
    <w:rsid w:val="009E0C8B"/>
    <w:rsid w:val="009F5497"/>
    <w:rsid w:val="00A000F0"/>
    <w:rsid w:val="00A054E2"/>
    <w:rsid w:val="00A174FE"/>
    <w:rsid w:val="00A449C2"/>
    <w:rsid w:val="00A44F29"/>
    <w:rsid w:val="00A669AC"/>
    <w:rsid w:val="00A673D9"/>
    <w:rsid w:val="00A86334"/>
    <w:rsid w:val="00A929D3"/>
    <w:rsid w:val="00AB4464"/>
    <w:rsid w:val="00AB733B"/>
    <w:rsid w:val="00AB7C5D"/>
    <w:rsid w:val="00AB7EF8"/>
    <w:rsid w:val="00AE3891"/>
    <w:rsid w:val="00AE7158"/>
    <w:rsid w:val="00AF24FD"/>
    <w:rsid w:val="00AF698A"/>
    <w:rsid w:val="00B11AC2"/>
    <w:rsid w:val="00B40BFE"/>
    <w:rsid w:val="00B556A6"/>
    <w:rsid w:val="00B55ED8"/>
    <w:rsid w:val="00B565F1"/>
    <w:rsid w:val="00B64CDA"/>
    <w:rsid w:val="00B97CBC"/>
    <w:rsid w:val="00BA7A88"/>
    <w:rsid w:val="00BB562B"/>
    <w:rsid w:val="00BB7380"/>
    <w:rsid w:val="00BD46F5"/>
    <w:rsid w:val="00BD6A54"/>
    <w:rsid w:val="00BD73EF"/>
    <w:rsid w:val="00BE23B8"/>
    <w:rsid w:val="00BF1FD7"/>
    <w:rsid w:val="00C03A5A"/>
    <w:rsid w:val="00C44463"/>
    <w:rsid w:val="00C51F66"/>
    <w:rsid w:val="00C70496"/>
    <w:rsid w:val="00C70F88"/>
    <w:rsid w:val="00C91F1F"/>
    <w:rsid w:val="00CA179A"/>
    <w:rsid w:val="00CA5071"/>
    <w:rsid w:val="00CC0606"/>
    <w:rsid w:val="00CC3272"/>
    <w:rsid w:val="00CC3FBB"/>
    <w:rsid w:val="00CE2BED"/>
    <w:rsid w:val="00CE4FF1"/>
    <w:rsid w:val="00CF29AF"/>
    <w:rsid w:val="00D01A12"/>
    <w:rsid w:val="00D02F2A"/>
    <w:rsid w:val="00D14178"/>
    <w:rsid w:val="00D146AA"/>
    <w:rsid w:val="00D27F94"/>
    <w:rsid w:val="00D35672"/>
    <w:rsid w:val="00D40D24"/>
    <w:rsid w:val="00D554C1"/>
    <w:rsid w:val="00D74AD8"/>
    <w:rsid w:val="00D849F5"/>
    <w:rsid w:val="00D84C47"/>
    <w:rsid w:val="00D85A7D"/>
    <w:rsid w:val="00DA4414"/>
    <w:rsid w:val="00DA791D"/>
    <w:rsid w:val="00DB36C7"/>
    <w:rsid w:val="00DB480B"/>
    <w:rsid w:val="00DC1558"/>
    <w:rsid w:val="00DC5B52"/>
    <w:rsid w:val="00DD4F2F"/>
    <w:rsid w:val="00DE7578"/>
    <w:rsid w:val="00E131B3"/>
    <w:rsid w:val="00E40E3D"/>
    <w:rsid w:val="00E4611B"/>
    <w:rsid w:val="00E64729"/>
    <w:rsid w:val="00E76F53"/>
    <w:rsid w:val="00E81C70"/>
    <w:rsid w:val="00E85AF6"/>
    <w:rsid w:val="00EA5D37"/>
    <w:rsid w:val="00EA64CD"/>
    <w:rsid w:val="00EC0BC0"/>
    <w:rsid w:val="00EC15C9"/>
    <w:rsid w:val="00EE3D9A"/>
    <w:rsid w:val="00EE5F4C"/>
    <w:rsid w:val="00EF1A82"/>
    <w:rsid w:val="00EF4338"/>
    <w:rsid w:val="00F02BCF"/>
    <w:rsid w:val="00F1271E"/>
    <w:rsid w:val="00F15318"/>
    <w:rsid w:val="00F20D3C"/>
    <w:rsid w:val="00F327ED"/>
    <w:rsid w:val="00F45859"/>
    <w:rsid w:val="00F60B75"/>
    <w:rsid w:val="00F906DB"/>
    <w:rsid w:val="00F92834"/>
    <w:rsid w:val="00F93BFC"/>
    <w:rsid w:val="00FB05F9"/>
    <w:rsid w:val="00FB4BFA"/>
    <w:rsid w:val="00FC402A"/>
    <w:rsid w:val="00FC40D2"/>
    <w:rsid w:val="00FD0B41"/>
    <w:rsid w:val="00FD5D58"/>
    <w:rsid w:val="00FF0578"/>
    <w:rsid w:val="00FF3248"/>
    <w:rsid w:val="00FF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E0EE0"/>
  <w15:docId w15:val="{1C09BFB3-9DB1-4BD1-9309-3B4F5C39D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33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F29AF"/>
  </w:style>
  <w:style w:type="paragraph" w:styleId="a5">
    <w:name w:val="List Paragraph"/>
    <w:basedOn w:val="a"/>
    <w:uiPriority w:val="34"/>
    <w:qFormat/>
    <w:rsid w:val="00CF29AF"/>
    <w:pPr>
      <w:ind w:left="720"/>
      <w:contextualSpacing/>
    </w:pPr>
  </w:style>
  <w:style w:type="table" w:styleId="a6">
    <w:name w:val="Table Grid"/>
    <w:basedOn w:val="a1"/>
    <w:uiPriority w:val="59"/>
    <w:rsid w:val="00AB7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7F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03A0F-5C14-4F71-A0C7-DCFC8C037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Афипский НПЗ</Company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 Наталья Сергеевна</dc:creator>
  <cp:lastModifiedBy>Сергей Ильенко</cp:lastModifiedBy>
  <cp:revision>29</cp:revision>
  <cp:lastPrinted>2019-11-14T10:35:00Z</cp:lastPrinted>
  <dcterms:created xsi:type="dcterms:W3CDTF">2019-06-21T07:09:00Z</dcterms:created>
  <dcterms:modified xsi:type="dcterms:W3CDTF">2023-01-20T05:48:00Z</dcterms:modified>
</cp:coreProperties>
</file>